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48A520CC"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r w:rsidRPr="00902980">
              <w:rPr>
                <w:rFonts w:ascii="Times New Roman" w:eastAsia="Times New Roman" w:hAnsi="Times New Roman" w:cs="Times New Roman"/>
                <w:b/>
                <w:bCs/>
                <w:i/>
                <w:sz w:val="20"/>
                <w:szCs w:val="20"/>
                <w:lang w:eastAsia="en-GB"/>
              </w:rPr>
              <w:t>Mẫu số B06g-QM</w:t>
            </w:r>
          </w:p>
        </w:tc>
      </w:tr>
      <w:tr w:rsidR="00BA0D8A" w:rsidRPr="00902980" w14:paraId="1BA50C74" w14:textId="78E03CEB" w:rsidTr="00067807">
        <w:tc>
          <w:tcPr>
            <w:tcW w:w="5778" w:type="dxa"/>
          </w:tcPr>
          <w:p w14:paraId="651DF517" w14:textId="697DF7F3" w:rsidR="00FB0655" w:rsidRPr="00902980" w:rsidRDefault="00BA0D8A" w:rsidP="00F0660C">
            <w:pPr>
              <w:jc w:val="both"/>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eastAsia="en-GB"/>
              </w:rPr>
              <w:t xml:space="preserve">Quỹ </w:t>
            </w:r>
            <w:r w:rsidR="002B10AA" w:rsidRPr="00902980">
              <w:rPr>
                <w:rFonts w:ascii="Times New Roman" w:eastAsia="Times New Roman" w:hAnsi="Times New Roman" w:cs="Times New Roman"/>
                <w:b/>
                <w:bCs/>
                <w:sz w:val="20"/>
                <w:szCs w:val="20"/>
                <w:lang w:eastAsia="en-GB"/>
              </w:rPr>
              <w:t>Đ</w:t>
            </w:r>
            <w:r w:rsidRPr="00902980">
              <w:rPr>
                <w:rFonts w:ascii="Times New Roman" w:eastAsia="Times New Roman" w:hAnsi="Times New Roman" w:cs="Times New Roman"/>
                <w:b/>
                <w:bCs/>
                <w:sz w:val="20"/>
                <w:szCs w:val="20"/>
                <w:lang w:eastAsia="en-GB"/>
              </w:rPr>
              <w:t xml:space="preserve">ầu tư Doanh nghiệp </w:t>
            </w:r>
            <w:r w:rsidR="002B10AA" w:rsidRPr="00902980">
              <w:rPr>
                <w:rFonts w:ascii="Times New Roman" w:eastAsia="Times New Roman" w:hAnsi="Times New Roman" w:cs="Times New Roman"/>
                <w:b/>
                <w:bCs/>
                <w:sz w:val="20"/>
                <w:szCs w:val="20"/>
                <w:lang w:eastAsia="en-GB"/>
              </w:rPr>
              <w:t>H</w:t>
            </w:r>
            <w:r w:rsidRPr="00902980">
              <w:rPr>
                <w:rFonts w:ascii="Times New Roman" w:eastAsia="Times New Roman" w:hAnsi="Times New Roman" w:cs="Times New Roman"/>
                <w:b/>
                <w:bCs/>
                <w:sz w:val="20"/>
                <w:szCs w:val="20"/>
                <w:lang w:eastAsia="en-GB"/>
              </w:rPr>
              <w:t xml:space="preserve">àng đầu </w:t>
            </w:r>
            <w:r w:rsidR="003A4373" w:rsidRPr="00902980">
              <w:rPr>
                <w:rFonts w:ascii="Times New Roman" w:eastAsia="Times New Roman" w:hAnsi="Times New Roman" w:cs="Times New Roman"/>
                <w:b/>
                <w:bCs/>
                <w:sz w:val="20"/>
                <w:szCs w:val="20"/>
                <w:lang w:eastAsia="en-GB"/>
              </w:rPr>
              <w:t>DC</w:t>
            </w:r>
            <w:r w:rsidR="00FB0655" w:rsidRPr="00902980">
              <w:rPr>
                <w:rFonts w:ascii="Times New Roman" w:eastAsia="Times New Roman" w:hAnsi="Times New Roman" w:cs="Times New Roman"/>
                <w:b/>
                <w:bCs/>
                <w:sz w:val="20"/>
                <w:szCs w:val="20"/>
                <w:lang w:eastAsia="en-GB"/>
              </w:rPr>
              <w:t xml:space="preserve"> </w:t>
            </w:r>
          </w:p>
          <w:p w14:paraId="58B18368" w14:textId="32E9FF01" w:rsidR="00FB0655" w:rsidRPr="00902980" w:rsidRDefault="00FB0655" w:rsidP="00F0660C">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(Ban hành theo TT số 198/2012/TT-BTC ngày 15/11/2012 của Bộ Tài Chính)</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03FF752D"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444245">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20</w:t>
      </w:r>
      <w:r w:rsidR="00D66DEA" w:rsidRPr="00902980">
        <w:rPr>
          <w:rFonts w:ascii="Times New Roman" w:hAnsi="Times New Roman" w:cs="Times New Roman"/>
          <w:b/>
          <w:sz w:val="24"/>
          <w:szCs w:val="24"/>
        </w:rPr>
        <w:t>2</w:t>
      </w:r>
      <w:r w:rsidR="00D739A1">
        <w:rPr>
          <w:rFonts w:ascii="Times New Roman" w:hAnsi="Times New Roman" w:cs="Times New Roman"/>
          <w:b/>
          <w:sz w:val="24"/>
          <w:szCs w:val="24"/>
        </w:rPr>
        <w:t>3</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Đặc điểm hoạt động của Quỹ mở</w:t>
      </w:r>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r w:rsidRPr="00902980">
        <w:rPr>
          <w:rFonts w:ascii="Times New Roman" w:hAnsi="Times New Roman" w:cs="Times New Roman"/>
          <w:b/>
          <w:sz w:val="20"/>
          <w:szCs w:val="20"/>
        </w:rPr>
        <w:t>Giấy chứng nhận chào bán chứng chỉ Quỹ và Giấy chứng nhận đăng ký thành lập Quỹ mở</w:t>
      </w:r>
    </w:p>
    <w:p w14:paraId="224645FD" w14:textId="55E88A8D" w:rsidR="00697857" w:rsidRPr="00902980" w:rsidRDefault="003A4373"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Đầu tư Doanh nghiệp Hàng đầu DC</w:t>
      </w:r>
      <w:r w:rsidR="00FB0655"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(“Quỹ”) được thành lập ban đầu dưới hình thức quỹ đại chúng dạng đóng theo Giấy Chứng Nhận Đăng Ký Thành lập số 11/UBCK-GCN do Ủy ban Chứng khoán Nhà nước Việt Nam cấp ngày 28 tháng 2 năm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Quyết định số 384/QĐ-UBCK do Ủy ban Chứng khoán Nhà nước cấp ngày 27 tháng 4 năm 2015 về việc sửa đổi </w:t>
      </w:r>
      <w:r w:rsidR="000756AA" w:rsidRPr="00902980">
        <w:rPr>
          <w:rFonts w:ascii="Times New Roman" w:eastAsia="PMingLiU" w:hAnsi="Times New Roman" w:cs="Times New Roman"/>
          <w:sz w:val="20"/>
          <w:szCs w:val="20"/>
        </w:rPr>
        <w:t>Giấy Chứng Nhận Đăng Ký Lập Quỹ đại chúng số 06/GCN-UBCK (“Giấy Chứng nhận Đăng ký Thành lập”) ngày 16 tháng 12 năm 2013 do Ủy Ban Chứng Khoán Nhà Nước Việt Nam cấ</w:t>
      </w:r>
      <w:r w:rsidR="00A12EFD" w:rsidRPr="00902980">
        <w:rPr>
          <w:rFonts w:ascii="Times New Roman" w:eastAsia="PMingLiU" w:hAnsi="Times New Roman" w:cs="Times New Roman"/>
          <w:sz w:val="20"/>
          <w:szCs w:val="20"/>
        </w:rPr>
        <w:t>p.</w:t>
      </w:r>
      <w:r w:rsidR="00FB0655" w:rsidRPr="00902980">
        <w:rPr>
          <w:rFonts w:ascii="Times New Roman" w:eastAsia="PMingLiU" w:hAnsi="Times New Roman" w:cs="Times New Roman"/>
          <w:sz w:val="20"/>
          <w:szCs w:val="20"/>
        </w:rPr>
        <w:t xml:space="preserve"> </w:t>
      </w:r>
      <w:r w:rsidR="00FB0655" w:rsidRPr="00902980">
        <w:rPr>
          <w:rFonts w:ascii="Times New Roman" w:hAnsi="Times New Roman" w:cs="Times New Roman"/>
          <w:sz w:val="20"/>
          <w:szCs w:val="20"/>
        </w:rPr>
        <w:t>Quỹ</w:t>
      </w:r>
      <w:r w:rsidR="00FB0655" w:rsidRPr="00902980">
        <w:rPr>
          <w:rFonts w:ascii="Times New Roman" w:eastAsia="Times New Roman" w:hAnsi="Times New Roman" w:cs="Times New Roman"/>
          <w:sz w:val="20"/>
          <w:szCs w:val="20"/>
          <w:lang w:eastAsia="en-GB"/>
        </w:rPr>
        <w:t xml:space="preserve"> đổi tên</w:t>
      </w:r>
      <w:r w:rsidR="00067807" w:rsidRPr="00902980">
        <w:rPr>
          <w:rFonts w:ascii="Times New Roman" w:eastAsia="Times New Roman" w:hAnsi="Times New Roman" w:cs="Times New Roman"/>
          <w:sz w:val="20"/>
          <w:szCs w:val="20"/>
          <w:lang w:eastAsia="en-GB"/>
        </w:rPr>
        <w:t xml:space="preserve"> thành </w:t>
      </w:r>
      <w:r w:rsidR="00067807" w:rsidRPr="00902980">
        <w:rPr>
          <w:rFonts w:ascii="Times New Roman" w:hAnsi="Times New Roman" w:cs="Times New Roman"/>
          <w:sz w:val="20"/>
          <w:szCs w:val="20"/>
        </w:rPr>
        <w:t>Quỹ Đầu tư Doanh nghiệp Hàng đầu DC (“DCBC”)</w:t>
      </w:r>
      <w:r w:rsidR="00FB0655" w:rsidRPr="00902980">
        <w:rPr>
          <w:rFonts w:ascii="Times New Roman" w:eastAsia="Times New Roman" w:hAnsi="Times New Roman" w:cs="Times New Roman"/>
          <w:sz w:val="20"/>
          <w:szCs w:val="20"/>
          <w:lang w:eastAsia="en-GB"/>
        </w:rPr>
        <w:t xml:space="preserve"> theo</w:t>
      </w:r>
      <w:r w:rsidR="00067807" w:rsidRPr="00902980">
        <w:rPr>
          <w:rFonts w:ascii="Times New Roman" w:hAnsi="Times New Roman" w:cs="Times New Roman"/>
          <w:sz w:val="20"/>
          <w:szCs w:val="20"/>
        </w:rPr>
        <w:t xml:space="preserve"> Nghị quyết Đại hội nhà đầu tư thường niên ngày 28 tháng 04 năm 2021 và </w:t>
      </w:r>
      <w:r w:rsidR="00FB0655" w:rsidRPr="00902980">
        <w:rPr>
          <w:rFonts w:ascii="Times New Roman" w:eastAsia="Times New Roman" w:hAnsi="Times New Roman" w:cs="Times New Roman"/>
          <w:sz w:val="20"/>
          <w:szCs w:val="20"/>
          <w:lang w:eastAsia="en-GB"/>
        </w:rPr>
        <w:t xml:space="preserve">Giấy Chứng Nhận Về việc điều chỉnh Giấy chứng nhận </w:t>
      </w:r>
      <w:r w:rsidR="00FB0655" w:rsidRPr="00902980">
        <w:rPr>
          <w:rFonts w:ascii="Times New Roman" w:hAnsi="Times New Roman" w:cs="Times New Roman"/>
          <w:sz w:val="20"/>
          <w:szCs w:val="20"/>
        </w:rPr>
        <w:t>đăng ký lập Quỹ đại chúng số 15/GCN-UBCK do Ủy ban Chứng khoán Nhà nước Việt Nam cấp ngày 24 tháng 5 năm 2021.</w:t>
      </w:r>
      <w:r w:rsidR="00FB0655" w:rsidRPr="00902980">
        <w:rPr>
          <w:rFonts w:ascii="Times New Roman" w:eastAsia="PMingLiU" w:hAnsi="Times New Roman" w:cs="Times New Roman"/>
          <w:sz w:val="20"/>
          <w:szCs w:val="20"/>
        </w:rPr>
        <w:t xml:space="preserve"> </w:t>
      </w:r>
      <w:r w:rsidR="00A12EFD" w:rsidRPr="00902980">
        <w:rPr>
          <w:rFonts w:ascii="Times New Roman" w:eastAsia="PMingLiU" w:hAnsi="Times New Roman" w:cs="Times New Roman"/>
          <w:sz w:val="20"/>
          <w:szCs w:val="20"/>
        </w:rPr>
        <w:t xml:space="preserve"> </w:t>
      </w:r>
      <w:r w:rsidR="000756AA" w:rsidRPr="00902980">
        <w:rPr>
          <w:rFonts w:ascii="Times New Roman" w:eastAsia="PMingLiU" w:hAnsi="Times New Roman" w:cs="Times New Roman"/>
          <w:sz w:val="20"/>
          <w:szCs w:val="20"/>
        </w:rPr>
        <w:t>Quỹ không bị giới hạn về thời gian hoạt động</w:t>
      </w:r>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77777777" w:rsidR="00697857"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Chứng chỉ quỹ được niêm yết tại Sở Giao dịch Chứng khoán Thành phố Hồ Chí Minh theo Giấy phép niêm yết chứng chỉ quỹ số 58/QĐ-SGDHCM ngày 3 tháng 6 năm 2008 và đã được hủy niêm yết vào ngày 27 tháng 11 năm 2013 theo Quyết định số 363/2013/QĐ-SGDHCM ngày 28 tháng 10 năm 2013 để thực hiện thủ tục chuyển đổi từ quỹ đóng sang quỹ mở.</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Địa chỉ liên hệ của Quỹ</w:t>
      </w:r>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eastAsia="en-GB"/>
        </w:rPr>
        <w:t>Tầng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r w:rsidRPr="00902980">
        <w:rPr>
          <w:rFonts w:ascii="Times New Roman" w:hAnsi="Times New Roman" w:cs="Times New Roman"/>
          <w:b/>
          <w:sz w:val="20"/>
          <w:szCs w:val="20"/>
        </w:rPr>
        <w:t>Những đặc điểm chính về hoạt động Quỹ mở</w:t>
      </w:r>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Quy mô vốn Quỹ mở</w:t>
      </w:r>
    </w:p>
    <w:p w14:paraId="1D3D4C61" w14:textId="77777777" w:rsidR="001F5AD0" w:rsidRPr="00902980" w:rsidRDefault="000756A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Tổng số vốn Điều lệ tối đa của Quỹ được quy định trong Giấy Chứng nhận Đăng ký Thành lập là 8.000 tỷ</w:t>
      </w:r>
      <w:r w:rsidR="00E248C7" w:rsidRPr="00902980">
        <w:rPr>
          <w:rFonts w:ascii="Times New Roman" w:hAnsi="Times New Roman" w:cs="Times New Roman"/>
          <w:sz w:val="20"/>
          <w:szCs w:val="20"/>
        </w:rPr>
        <w:t xml:space="preserve"> đ</w:t>
      </w:r>
      <w:r w:rsidRPr="00902980">
        <w:rPr>
          <w:rFonts w:ascii="Times New Roman" w:hAnsi="Times New Roman" w:cs="Times New Roman"/>
          <w:sz w:val="20"/>
          <w:szCs w:val="20"/>
        </w:rPr>
        <w:t>ồng Việt Nam. Theo giấy chứng nhận này, Quỹ được phép phát hành 80.646.000 chứng chỉ quỹ ra công chúng với mệ</w:t>
      </w:r>
      <w:r w:rsidR="006426A5" w:rsidRPr="00902980">
        <w:rPr>
          <w:rFonts w:ascii="Times New Roman" w:hAnsi="Times New Roman" w:cs="Times New Roman"/>
          <w:sz w:val="20"/>
          <w:szCs w:val="20"/>
        </w:rPr>
        <w:t>nh giá là 10.</w:t>
      </w:r>
      <w:r w:rsidR="00E248C7" w:rsidRPr="00902980">
        <w:rPr>
          <w:rFonts w:ascii="Times New Roman" w:hAnsi="Times New Roman" w:cs="Times New Roman"/>
          <w:sz w:val="20"/>
          <w:szCs w:val="20"/>
        </w:rPr>
        <w:t>000 đ</w:t>
      </w:r>
      <w:r w:rsidRPr="00902980">
        <w:rPr>
          <w:rFonts w:ascii="Times New Roman" w:hAnsi="Times New Roman" w:cs="Times New Roman"/>
          <w:sz w:val="20"/>
          <w:szCs w:val="20"/>
        </w:rPr>
        <w:t>ồng Việt Nam trên mỗi chứng chỉ quỹ cho lần huy động vốn đầu tiên</w:t>
      </w:r>
      <w:r w:rsidR="00FC73FA" w:rsidRPr="00902980">
        <w:rPr>
          <w:rFonts w:ascii="Times New Roman" w:hAnsi="Times New Roman" w:cs="Times New Roman"/>
          <w:sz w:val="20"/>
          <w:szCs w:val="20"/>
        </w:rPr>
        <w:t>.</w:t>
      </w:r>
    </w:p>
    <w:p w14:paraId="53A7DFD5" w14:textId="21967623" w:rsidR="00520846" w:rsidRPr="00902980" w:rsidRDefault="0052084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Quỹ đã chính thức chuyển đổi thành quỹ đầu tư đại chúng dạng quỹ mở vào ngày 17 tháng 12 năm 2013 theo Giấy Chứng Nhận Đăng Ký Chào Bán số 04/GCN-UBCK ngày 18 tháng 12 năm 2007 và Giấy Chứng nhận Đăng ký Thành lập. Theo Giấy Chứng nhận Đăng ký Thành lập này, tổng số vốn điều lệ của Quỹ là 806.460.000.000 Đồng Việt Nam tương đương với 80.646.000 chứng chỉ quỹ.  Quỹ hoạt động theo Điều lệ Tổ chức và Hoạt động của Quỹ ban hành ngày 19 tháng 11 năm 2013 và được điều chỉnh, bổ sung lần gần nhấ</w:t>
      </w:r>
      <w:r w:rsidR="00AD607E" w:rsidRPr="00902980">
        <w:rPr>
          <w:rFonts w:ascii="Times New Roman" w:hAnsi="Times New Roman" w:cs="Times New Roman"/>
          <w:sz w:val="20"/>
          <w:szCs w:val="20"/>
        </w:rPr>
        <w:t xml:space="preserve">t vào </w:t>
      </w:r>
      <w:r w:rsidR="00FF0133">
        <w:rPr>
          <w:rFonts w:ascii="Times New Roman" w:hAnsi="Times New Roman" w:cs="Times New Roman"/>
          <w:sz w:val="20"/>
          <w:szCs w:val="20"/>
        </w:rPr>
        <w:t xml:space="preserve">ngày </w:t>
      </w:r>
      <w:r w:rsidR="00FF0133" w:rsidRPr="00C0369E">
        <w:rPr>
          <w:rFonts w:ascii="Times New Roman" w:hAnsi="Times New Roman" w:cs="Times New Roman"/>
          <w:sz w:val="20"/>
          <w:szCs w:val="20"/>
        </w:rPr>
        <w:t xml:space="preserve">05 </w:t>
      </w:r>
      <w:r w:rsidRPr="00C0369E">
        <w:rPr>
          <w:rFonts w:ascii="Times New Roman" w:hAnsi="Times New Roman" w:cs="Times New Roman"/>
          <w:sz w:val="20"/>
          <w:szCs w:val="20"/>
        </w:rPr>
        <w:t>tháng</w:t>
      </w:r>
      <w:r w:rsidR="00AD607E" w:rsidRPr="00C0369E">
        <w:rPr>
          <w:rFonts w:ascii="Times New Roman" w:hAnsi="Times New Roman" w:cs="Times New Roman"/>
          <w:sz w:val="20"/>
          <w:szCs w:val="20"/>
        </w:rPr>
        <w:t xml:space="preserve"> </w:t>
      </w:r>
      <w:r w:rsidR="00842539" w:rsidRPr="00C0369E">
        <w:rPr>
          <w:rFonts w:ascii="Times New Roman" w:hAnsi="Times New Roman" w:cs="Times New Roman"/>
          <w:sz w:val="20"/>
          <w:szCs w:val="20"/>
        </w:rPr>
        <w:t>0</w:t>
      </w:r>
      <w:r w:rsidR="00D713E1" w:rsidRPr="00C0369E">
        <w:rPr>
          <w:rFonts w:ascii="Times New Roman" w:hAnsi="Times New Roman" w:cs="Times New Roman"/>
          <w:sz w:val="20"/>
          <w:szCs w:val="20"/>
        </w:rPr>
        <w:t>5</w:t>
      </w:r>
      <w:r w:rsidR="00AD607E" w:rsidRPr="00C0369E">
        <w:rPr>
          <w:rFonts w:ascii="Times New Roman" w:hAnsi="Times New Roman" w:cs="Times New Roman"/>
          <w:sz w:val="20"/>
          <w:szCs w:val="20"/>
        </w:rPr>
        <w:t xml:space="preserve"> năm 20</w:t>
      </w:r>
      <w:r w:rsidR="0054044E" w:rsidRPr="00C0369E">
        <w:rPr>
          <w:rFonts w:ascii="Times New Roman" w:hAnsi="Times New Roman" w:cs="Times New Roman"/>
          <w:sz w:val="20"/>
          <w:szCs w:val="20"/>
        </w:rPr>
        <w:t>2</w:t>
      </w:r>
      <w:r w:rsidR="002F64BF" w:rsidRPr="00C0369E">
        <w:rPr>
          <w:rFonts w:ascii="Times New Roman" w:hAnsi="Times New Roman" w:cs="Times New Roman"/>
          <w:sz w:val="20"/>
          <w:szCs w:val="20"/>
        </w:rPr>
        <w:t>2</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07E10069" w14:textId="5DD98067" w:rsidR="00023196" w:rsidRPr="00902980" w:rsidRDefault="00023196" w:rsidP="00904DD1">
      <w:pPr>
        <w:spacing w:line="360" w:lineRule="auto"/>
        <w:jc w:val="both"/>
        <w:rPr>
          <w:rFonts w:ascii="Times New Roman" w:hAnsi="Times New Roman" w:cs="Times New Roman"/>
          <w:sz w:val="20"/>
          <w:szCs w:val="20"/>
        </w:rPr>
      </w:pPr>
    </w:p>
    <w:p w14:paraId="7C1FDB76" w14:textId="77777777" w:rsidR="00023196" w:rsidRPr="00902980" w:rsidRDefault="00023196" w:rsidP="00904DD1">
      <w:pPr>
        <w:spacing w:line="360" w:lineRule="auto"/>
        <w:jc w:val="both"/>
        <w:rPr>
          <w:rFonts w:ascii="Times New Roman" w:hAnsi="Times New Roman" w:cs="Times New Roman"/>
          <w:sz w:val="20"/>
          <w:szCs w:val="20"/>
        </w:rPr>
      </w:pP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Mục tiêu đầu tư của Quỹ</w:t>
      </w:r>
    </w:p>
    <w:p w14:paraId="4EFF29F1" w14:textId="5096DFF1"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sz w:val="20"/>
          <w:szCs w:val="20"/>
        </w:rPr>
        <w:t xml:space="preserve">Mục tiêu của </w:t>
      </w:r>
      <w:r w:rsidR="002B0F65" w:rsidRPr="00902980">
        <w:rPr>
          <w:rFonts w:ascii="Times New Roman" w:hAnsi="Times New Roman" w:cs="Times New Roman"/>
          <w:sz w:val="20"/>
          <w:szCs w:val="20"/>
        </w:rPr>
        <w:t>Quỹ DCBC</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tìm kiếm lợi nhuận dài hạn từ tăng trưởng vốn gốc và cổ tức thông qua việc đầu tư vào cổ phiếu của các doanh nghiệp hàng đầu hoạt động trong các ngành cơ bản của nền cơ bản của kinh tế. Các doanh nghiệp đầu tư là các doanh nghiệp </w:t>
      </w:r>
      <w:r w:rsidR="00CD5E16">
        <w:rPr>
          <w:rFonts w:ascii="Times New Roman" w:hAnsi="Times New Roman" w:cs="Times New Roman"/>
          <w:sz w:val="20"/>
          <w:szCs w:val="20"/>
        </w:rPr>
        <w:t>hàng đầu đã và sẽ niêm yết trên thị trường chứng khoán.</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Kỳ tính giá trị tài sản ròng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G</w:t>
      </w:r>
      <w:r w:rsidR="00FC73FA" w:rsidRPr="00902980">
        <w:rPr>
          <w:rFonts w:ascii="Times New Roman" w:hAnsi="Times New Roman" w:cs="Times New Roman"/>
          <w:sz w:val="20"/>
          <w:szCs w:val="20"/>
        </w:rPr>
        <w:t xml:space="preserve">iá trị tài sản ròng của quỹ được xác định </w:t>
      </w:r>
      <w:r w:rsidR="00070BA3" w:rsidRPr="00902980">
        <w:rPr>
          <w:rFonts w:ascii="Times New Roman" w:hAnsi="Times New Roman" w:cs="Times New Roman"/>
          <w:sz w:val="20"/>
          <w:szCs w:val="20"/>
        </w:rPr>
        <w:t xml:space="preserve">hàng </w:t>
      </w:r>
      <w:r w:rsidR="00FC73FA" w:rsidRPr="00902980">
        <w:rPr>
          <w:rFonts w:ascii="Times New Roman" w:hAnsi="Times New Roman" w:cs="Times New Roman"/>
          <w:sz w:val="20"/>
          <w:szCs w:val="20"/>
        </w:rPr>
        <w:t>ngày vào các ngày làm việc và mỗi tháng. Ngày định giá là ngày làm việc (của kỳ định giá ngày)</w:t>
      </w:r>
      <w:r w:rsidR="006F5653" w:rsidRPr="00902980">
        <w:rPr>
          <w:rFonts w:ascii="Times New Roman" w:hAnsi="Times New Roman" w:cs="Times New Roman"/>
          <w:sz w:val="20"/>
          <w:szCs w:val="20"/>
        </w:rPr>
        <w:t>, ngày thứ Sáu 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 tuần (của kỳ định giá tuần)</w:t>
      </w:r>
      <w:r w:rsidR="00FC73FA" w:rsidRPr="00902980">
        <w:rPr>
          <w:rFonts w:ascii="Times New Roman" w:hAnsi="Times New Roman" w:cs="Times New Roman"/>
          <w:sz w:val="20"/>
          <w:szCs w:val="20"/>
        </w:rPr>
        <w:t xml:space="preserve"> và</w:t>
      </w:r>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ngày đầu tiên của tháng tiếp theo (của kỳ định giá hàng tháng).</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Trường hợp công ty quản lý quỹ thay đổi kỳ xác định giá trị tài sản ròng của quỹ thì công ty quản lý quỹ phải xin ý kiến chấp thuận từ Ban đại diện quỹ trước khi thực hiện.</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Tần suất giao dịch chứng chỉ </w:t>
      </w:r>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 mở</w:t>
      </w:r>
    </w:p>
    <w:p w14:paraId="07E6991E" w14:textId="0E5069E0" w:rsidR="001F5AD0"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Tần suất giao dịch chứng chỉ Quỹ</w:t>
      </w:r>
      <w:r w:rsidR="00E248C7" w:rsidRPr="00902980">
        <w:rPr>
          <w:rFonts w:ascii="Times New Roman" w:hAnsi="Times New Roman" w:cs="Times New Roman"/>
          <w:sz w:val="20"/>
          <w:szCs w:val="20"/>
        </w:rPr>
        <w:t xml:space="preserve"> </w:t>
      </w:r>
      <w:r w:rsidR="006F5653" w:rsidRPr="00902980">
        <w:rPr>
          <w:rFonts w:ascii="Times New Roman" w:hAnsi="Times New Roman" w:cs="Times New Roman"/>
          <w:sz w:val="20"/>
          <w:szCs w:val="20"/>
        </w:rPr>
        <w:t xml:space="preserve">DCBC </w:t>
      </w:r>
      <w:r w:rsidR="00E248C7" w:rsidRPr="00902980">
        <w:rPr>
          <w:rFonts w:ascii="Times New Roman" w:hAnsi="Times New Roman" w:cs="Times New Roman"/>
          <w:sz w:val="20"/>
          <w:szCs w:val="20"/>
        </w:rPr>
        <w:t>là h</w:t>
      </w:r>
      <w:r w:rsidRPr="00902980">
        <w:rPr>
          <w:rFonts w:ascii="Times New Roman" w:hAnsi="Times New Roman" w:cs="Times New Roman"/>
          <w:sz w:val="20"/>
          <w:szCs w:val="20"/>
        </w:rPr>
        <w:t>àng ngày</w:t>
      </w:r>
      <w:r w:rsidR="007462A0" w:rsidRPr="00902980">
        <w:rPr>
          <w:rFonts w:ascii="Times New Roman" w:hAnsi="Times New Roman" w:cs="Times New Roman"/>
          <w:sz w:val="20"/>
          <w:szCs w:val="20"/>
        </w:rPr>
        <w:t xml:space="preserve"> vào các ngày làm việc trong tuần</w:t>
      </w:r>
      <w:r w:rsidRPr="00902980">
        <w:rPr>
          <w:rFonts w:ascii="Times New Roman" w:hAnsi="Times New Roman" w:cs="Times New Roman"/>
          <w:sz w:val="20"/>
          <w:szCs w:val="20"/>
        </w:rPr>
        <w:t>. Nếu ngày giao dịch rơi vào ngày nghỉ</w:t>
      </w:r>
      <w:r w:rsidR="00E248C7" w:rsidRPr="00902980">
        <w:rPr>
          <w:rFonts w:ascii="Times New Roman" w:hAnsi="Times New Roman" w:cs="Times New Roman"/>
          <w:sz w:val="20"/>
          <w:szCs w:val="20"/>
        </w:rPr>
        <w:t xml:space="preserve"> l</w:t>
      </w:r>
      <w:r w:rsidRPr="00902980">
        <w:rPr>
          <w:rFonts w:ascii="Times New Roman" w:hAnsi="Times New Roman" w:cs="Times New Roman"/>
          <w:sz w:val="20"/>
          <w:szCs w:val="20"/>
        </w:rPr>
        <w:t xml:space="preserve">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w:t>
      </w:r>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trên trang thông tin điện tử của công ty hoặc bằng thư điện tử.</w:t>
      </w:r>
    </w:p>
    <w:p w14:paraId="348CBE4F" w14:textId="77777777" w:rsidR="00023F81" w:rsidRPr="00902980" w:rsidRDefault="00FC73FA"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Việc giảm tần suất giao dịch sẽ được Đại hội nhà đầu tư thông qua và luôn đảm bảo tần suất giao dịch không được ít hơn hai (02) lần trong một (01) tháng.</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Hạn chế đầu tư của Quỹ mở</w:t>
      </w:r>
    </w:p>
    <w:p w14:paraId="08E6EA7B" w14:textId="7313F979"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mục đầu tư của </w:t>
      </w:r>
      <w:r w:rsidR="008F1FFC" w:rsidRPr="00902980">
        <w:rPr>
          <w:rFonts w:ascii="Times New Roman" w:hAnsi="Times New Roman" w:cs="Times New Roman"/>
          <w:sz w:val="20"/>
          <w:szCs w:val="20"/>
        </w:rPr>
        <w:t xml:space="preserve">Quỹ DCBC </w:t>
      </w:r>
      <w:r w:rsidRPr="00902980">
        <w:rPr>
          <w:rFonts w:ascii="Times New Roman" w:hAnsi="Times New Roman" w:cs="Times New Roman"/>
          <w:sz w:val="20"/>
          <w:szCs w:val="20"/>
          <w:lang w:eastAsia="en-GB"/>
        </w:rPr>
        <w:t>phải phù hợp với mục tiêu và chính sách đầu tư đã được quy định rõ tại</w:t>
      </w:r>
      <w:r w:rsidR="000278DD" w:rsidRPr="00902980">
        <w:rPr>
          <w:rFonts w:ascii="Times New Roman" w:hAnsi="Times New Roman" w:cs="Times New Roman"/>
          <w:sz w:val="20"/>
          <w:szCs w:val="20"/>
          <w:lang w:eastAsia="en-GB"/>
        </w:rPr>
        <w:t xml:space="preserve"> </w:t>
      </w:r>
      <w:r w:rsidRPr="00902980">
        <w:rPr>
          <w:rFonts w:ascii="Times New Roman" w:hAnsi="Times New Roman" w:cs="Times New Roman"/>
          <w:sz w:val="20"/>
          <w:szCs w:val="20"/>
          <w:lang w:eastAsia="en-GB"/>
        </w:rPr>
        <w:t>Điều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Điều lệ Quỹ và Bản cáo bạch.</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Kỳ kế toán, đơn vị tiền tệ sử dụng trong kế toán</w:t>
      </w:r>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t xml:space="preserve">Kỳ kế toán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Kỳ kế toán năm của </w:t>
      </w:r>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 là từ ngày 01 tháng 01 đến ngày 31 tháng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Đơn vị tiền tệ sử dụng trong kế toán</w:t>
      </w:r>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r w:rsidRPr="00902980">
        <w:rPr>
          <w:rFonts w:ascii="Times New Roman" w:hAnsi="Times New Roman" w:cs="Times New Roman"/>
          <w:sz w:val="20"/>
          <w:szCs w:val="20"/>
        </w:rPr>
        <w:t>Đơn vị tiền tệ kế toán của Quỹ là Đồng Việt Nam (“VND”), cũng là đơn vị tiền tệ được sử dụng cho mục đích lập và trình bày báo cáo tài chính.</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Chuẩn mực và Chế độ kế toán áp dụng</w:t>
      </w:r>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t>Chế độ kế toán áp dụng</w:t>
      </w:r>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Cs/>
          <w:sz w:val="20"/>
          <w:szCs w:val="20"/>
          <w:lang w:eastAsia="en-GB"/>
        </w:rPr>
        <w:t xml:space="preserve">Quỹ áp dụng Chế độ Kế toán Quỹ </w:t>
      </w:r>
      <w:r w:rsidRPr="00902980">
        <w:rPr>
          <w:rFonts w:ascii="Times New Roman" w:eastAsia="Times New Roman" w:hAnsi="Times New Roman" w:cs="Times New Roman"/>
          <w:bCs/>
          <w:color w:val="000000" w:themeColor="text1"/>
          <w:sz w:val="20"/>
          <w:szCs w:val="20"/>
          <w:lang w:eastAsia="en-GB"/>
        </w:rPr>
        <w:t>mở</w:t>
      </w:r>
      <w:r w:rsidRPr="00902980">
        <w:rPr>
          <w:rFonts w:ascii="Times New Roman" w:eastAsia="Times New Roman" w:hAnsi="Times New Roman" w:cs="Times New Roman"/>
          <w:bCs/>
          <w:sz w:val="20"/>
          <w:szCs w:val="20"/>
          <w:lang w:eastAsia="en-GB"/>
        </w:rPr>
        <w:t xml:space="preserve"> ban hành theo </w:t>
      </w:r>
      <w:r w:rsidR="00235296" w:rsidRPr="00902980">
        <w:rPr>
          <w:rFonts w:ascii="Times New Roman" w:eastAsia="Times New Roman" w:hAnsi="Times New Roman" w:cs="Times New Roman"/>
          <w:bCs/>
          <w:sz w:val="20"/>
          <w:szCs w:val="20"/>
          <w:lang w:eastAsia="en-GB"/>
        </w:rPr>
        <w:t>Thông tư 198/2012/TT-BTC ngày 15 tháng 11 năm 2012 về chế độ kế toán áp dụng đối với quỹ mở</w:t>
      </w:r>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Thông tư 181/2015/TT-BTC ngày 13 tháng 11 năm 2015 về Chế độ kế toán áp dụng đối với Quỹ Hoán đổi danh mục do Bộ trưởng Bộ Tài chính ban hành</w:t>
      </w:r>
      <w:r w:rsidRPr="00902980">
        <w:rPr>
          <w:rFonts w:ascii="Times New Roman" w:eastAsia="Times New Roman" w:hAnsi="Times New Roman" w:cs="Times New Roman"/>
          <w:bCs/>
          <w:sz w:val="20"/>
          <w:szCs w:val="20"/>
          <w:lang w:eastAsia="en-GB"/>
        </w:rPr>
        <w:t xml:space="preserve"> của Bộ Tài chính và theo các chuẩn mực kế toán, hệ thống kế toán Việt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lastRenderedPageBreak/>
        <w:t xml:space="preserve">3.2     </w:t>
      </w:r>
      <w:r w:rsidR="00FC73FA" w:rsidRPr="00902980">
        <w:rPr>
          <w:rFonts w:ascii="Times New Roman" w:eastAsia="Times New Roman" w:hAnsi="Times New Roman" w:cs="Times New Roman"/>
          <w:b/>
          <w:sz w:val="20"/>
          <w:szCs w:val="20"/>
        </w:rPr>
        <w:t>Tuyên bố về việc tuân thủ Chuẩn mực kế toán và Chế độ kế toán</w:t>
      </w:r>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r w:rsidRPr="00902980">
        <w:rPr>
          <w:rFonts w:ascii="Times New Roman" w:eastAsia="Times New Roman" w:hAnsi="Times New Roman" w:cs="Times New Roman"/>
          <w:bCs/>
          <w:sz w:val="20"/>
          <w:szCs w:val="20"/>
          <w:lang w:eastAsia="en-GB"/>
        </w:rPr>
        <w:t>Báo cáo tài chính được lập theo Thông tư</w:t>
      </w:r>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r w:rsidRPr="00902980">
        <w:rPr>
          <w:rFonts w:ascii="Times New Roman" w:eastAsia="Times New Roman" w:hAnsi="Times New Roman" w:cs="Times New Roman"/>
          <w:bCs/>
          <w:sz w:val="20"/>
          <w:szCs w:val="20"/>
          <w:lang w:eastAsia="en-GB"/>
        </w:rPr>
        <w:t>ngày 15 tháng 11 năm 2012 do Bộ Tài chính ban hành về chế độ kế toán áp dụng đối với quỹ mở</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tư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t>Thông tư số 98/2020/TT-BTC ngày 16 tháng 11 năm 2020 của Bộ trưởng Bộ Tài Chính về hướng dẫn hoạt động và quản lý quỹ đầu tư chứng khoán</w:t>
      </w:r>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r w:rsidRPr="00902980">
        <w:rPr>
          <w:rFonts w:ascii="Times New Roman" w:eastAsia="Times New Roman" w:hAnsi="Times New Roman" w:cs="Times New Roman"/>
          <w:bCs/>
          <w:sz w:val="20"/>
          <w:szCs w:val="20"/>
          <w:lang w:eastAsia="en-GB"/>
        </w:rPr>
        <w:t>và các quy định có liên quan đến việc lập và trình bày báo cáo tài chính.</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t>Hình thức kế toán áp dụng</w:t>
      </w:r>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r w:rsidRPr="00902980">
        <w:rPr>
          <w:rFonts w:ascii="Times New Roman" w:hAnsi="Times New Roman" w:cs="Times New Roman"/>
          <w:sz w:val="20"/>
          <w:szCs w:val="20"/>
        </w:rPr>
        <w:t>Hình thức sổ kế toán áp dụng được đăng ký của Quỹ là Nhật ký chung.</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Các chính sách kế toán áp dụng</w:t>
      </w:r>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Tiền và các khoản tương đương tiền</w:t>
      </w:r>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r w:rsidR="00F3304D" w:rsidRPr="00902980">
        <w:rPr>
          <w:rFonts w:ascii="Times New Roman" w:hAnsi="Times New Roman" w:cs="Times New Roman"/>
          <w:sz w:val="20"/>
          <w:szCs w:val="20"/>
        </w:rPr>
        <w:t xml:space="preserve">gốc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r w:rsidRPr="00902980">
        <w:rPr>
          <w:rFonts w:ascii="Times New Roman" w:hAnsi="Times New Roman" w:cs="Times New Roman"/>
          <w:b/>
          <w:color w:val="000000" w:themeColor="text1"/>
          <w:sz w:val="20"/>
          <w:szCs w:val="20"/>
        </w:rPr>
        <w:t xml:space="preserve">Nguyên tắc ghi nhận và phân loại các khoản đầu tư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r w:rsidR="00F0660C" w:rsidRPr="00902980">
        <w:rPr>
          <w:rFonts w:ascii="Times New Roman" w:hAnsi="Times New Roman" w:cs="Times New Roman"/>
          <w:sz w:val="20"/>
          <w:szCs w:val="20"/>
        </w:rPr>
        <w:t>tại các mục phía dưới</w:t>
      </w:r>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52249662" w14:textId="77777777" w:rsidR="009367D3" w:rsidRDefault="009367D3" w:rsidP="00904DD1">
      <w:pPr>
        <w:spacing w:line="360" w:lineRule="auto"/>
        <w:jc w:val="both"/>
        <w:rPr>
          <w:rFonts w:ascii="Times New Roman" w:hAnsi="Times New Roman" w:cs="Times New Roman"/>
          <w:b/>
          <w:i/>
          <w:sz w:val="20"/>
          <w:szCs w:val="20"/>
          <w:lang w:val="vi-VN"/>
        </w:rPr>
      </w:pP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lastRenderedPageBreak/>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Các khoản phải thu</w:t>
      </w:r>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r w:rsidRPr="00902980">
              <w:rPr>
                <w:rFonts w:ascii="Times New Roman" w:hAnsi="Times New Roman" w:cs="Times New Roman"/>
                <w:sz w:val="20"/>
                <w:szCs w:val="20"/>
              </w:rPr>
              <w:t>Từ</w:t>
            </w:r>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trở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r w:rsidR="00993FA7" w:rsidRPr="00902980">
        <w:rPr>
          <w:rFonts w:eastAsiaTheme="minorHAnsi"/>
          <w:sz w:val="20"/>
          <w:lang w:val="en-US"/>
        </w:rPr>
        <w:t>kỳ</w:t>
      </w:r>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Các khoản phải trả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645C65A1" w14:textId="77777777" w:rsidR="0066013C" w:rsidRDefault="0066013C" w:rsidP="00593491">
      <w:pPr>
        <w:spacing w:before="120" w:after="120" w:line="360" w:lineRule="auto"/>
        <w:jc w:val="both"/>
        <w:rPr>
          <w:rFonts w:ascii="Times New Roman" w:eastAsia="Times New Roman" w:hAnsi="Times New Roman" w:cs="Times New Roman"/>
          <w:b/>
          <w:bCs/>
          <w:i/>
          <w:sz w:val="20"/>
          <w:szCs w:val="20"/>
          <w:lang w:val="vi-VN" w:eastAsia="en-GB"/>
        </w:rPr>
      </w:pPr>
    </w:p>
    <w:p w14:paraId="7E007AE5" w14:textId="1CE6FBF3"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lastRenderedPageBreak/>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D5AB125" w14:textId="77777777" w:rsidR="00432782" w:rsidRPr="005B0542" w:rsidRDefault="00432782" w:rsidP="00904DD1">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0B4AB116" w14:textId="77777777" w:rsidR="00432782" w:rsidRPr="005B0542" w:rsidRDefault="00432782" w:rsidP="00904DD1">
      <w:pPr>
        <w:pStyle w:val="BodyText"/>
        <w:keepNext/>
        <w:numPr>
          <w:ilvl w:val="3"/>
          <w:numId w:val="0"/>
        </w:numPr>
        <w:spacing w:before="260" w:after="140" w:line="360" w:lineRule="auto"/>
        <w:ind w:hanging="547"/>
        <w:rPr>
          <w:b/>
          <w:i/>
          <w:sz w:val="20"/>
          <w:lang w:val="vi-VN"/>
        </w:rPr>
      </w:pPr>
      <w:r w:rsidRPr="005B0542">
        <w:rPr>
          <w:b/>
          <w:i/>
          <w:sz w:val="20"/>
          <w:lang w:val="vi-VN"/>
        </w:rPr>
        <w:tab/>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lastRenderedPageBreak/>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Doanh thu</w:t>
      </w:r>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Doanh thu được ghi nhận khi Quỹ có khả năng tương đối chắc chắn nhận được các lợi ích kinh tế và các khoản doanh thu này có thể xác định được một cách đáng tin cậy. Các tiêu chuẩn cụ thể sau đây phải được đáp ứng trước khi doanh thu được ghi nhận:</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Thu nhập lãi tiền gửi và cổ tức</w:t>
      </w:r>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nhập lãi tiền gửi được ghi nhận theo tỷ lệ tương ứng với thời gian dựa trên số dư gốc và lãi suất áp dụng trong báo cáo thu nhập trên cơ sở dồn tích trừ khi khả năng thu hồi không chắc chắn.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Thu nhập từ cổ tức được ghi nhận trong báo cáo thu nhập khi quyền nhận cổ tức của Quỹ được xác lập. Cổ tức bằng cổ phiếu không được ghi nhận là thu nhập.</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Thu nhập từ hoạt động kinh doanh chứng khoán</w:t>
      </w:r>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hi phí</w:t>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r w:rsidRPr="00902980">
        <w:rPr>
          <w:rFonts w:ascii="Times New Roman" w:hAnsi="Times New Roman" w:cs="Times New Roman"/>
          <w:sz w:val="20"/>
          <w:szCs w:val="20"/>
        </w:rPr>
        <w:t>Các khoản chi phí được ghi nhận trong báo cáo thu nhập trên cơ sở dồn tích</w:t>
      </w:r>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Thuế</w:t>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4ECB8FEB" w14:textId="77777777" w:rsidR="00B71FF1"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Theo các quy định thuế hiện hành tại Việt Nam, Quỹ không thuộc đối tượng chịu thuế thu nhập doanh nghiệp.  Tuy nhiên, Công ty Quản lý Quỹ có trách nhiệm khấu trừ thuế của các cá nhân và tổ chức đầu tư trong các giao dịch sau:</w:t>
      </w:r>
    </w:p>
    <w:p w14:paraId="725D1A89" w14:textId="29274BE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Giao dịch trả cổ tức cho Nhà đầu tư</w:t>
      </w:r>
    </w:p>
    <w:p w14:paraId="78CFF6BF" w14:textId="77777777" w:rsidR="00D77D0B" w:rsidRPr="00902980" w:rsidRDefault="00D77D0B"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Khi Quỹ trả cổ tức cho Nhà đầu tư, Quỹ phải tuân thủ quy định khấu trừ, kê khai và nộp thuế theo Thông tư số 78/2014/TT-BTC ngày 18 tháng 6 năm 2014 (“Thông tư 78”) được sửa đổi và bổ sung bởi Thông tư số 96/2015/TT-BTC ngày 22 tháng 6 năm 2015 và Thông tư số 111/2013/TT-BTC ngày 15 tháng 8 năm 2013 (“Thông tư 111”) được sửa đổi và bổ sung bởi Thông tư số 92/2015/TT-BTC ngày 15 tháng 6 năm 2015 (“Thông tư 92”) do Bộ Tài chính ban hành và Công văn số 10945/BTC-TCT ngày 19 tháng 8 năm 2010 của Tổng Cục </w:t>
      </w:r>
      <w:r w:rsidRPr="00902980">
        <w:rPr>
          <w:rFonts w:ascii="Times New Roman" w:hAnsi="Times New Roman" w:cs="Times New Roman"/>
          <w:sz w:val="20"/>
          <w:szCs w:val="20"/>
        </w:rPr>
        <w:lastRenderedPageBreak/>
        <w:t xml:space="preserve">thuế về chính sách thuế đối với việc chia cổ tức cho tổ chức đầu tư. Theo đó, khi trả cổ tức cho các tổ chức đầu tư, không phân biệt tổ chức đầu tư trong nước hoặc nước ngoài, Công ty Quản lý Quỹ cần giữ lại 20% lợi nhuận được phân phối (ngoại trừ phần lợi nhuận được phân phối đã chịu thuế thu nhập doanh nghiệp ở khâu trước và lãi trái phiếu thu được từ trái phiếu thuộc diện miễn thuế theo quy định của pháp luật hiện hành).  </w:t>
      </w:r>
      <w:r w:rsidR="00432C2E" w:rsidRPr="00902980">
        <w:rPr>
          <w:rFonts w:ascii="Times New Roman" w:hAnsi="Times New Roman" w:cs="Times New Roman"/>
          <w:sz w:val="20"/>
          <w:szCs w:val="20"/>
        </w:rPr>
        <w:t>Riêng tổ chức đầu tư nêu tại khoản 2.1, điểm 2, Mục III Thông tư số 100/2004/TT-BTC được lựa chọn phương thức tự nộp thuế bằng cách gộp chung với thu nhập từ hoạt động kinh doanh của tổ chức đó để tính và nộp thuế theo quy định của Luật thuế TNDN hiện hành; tổ chức đầu tư có trách nhiệm thông báo cho Công ty quản lý Quỹ về việc tự nộp thuế để không bị khấu trừ phần thuế tương ứng.</w:t>
      </w:r>
      <w:r w:rsidRPr="00902980">
        <w:rPr>
          <w:rFonts w:ascii="Times New Roman" w:hAnsi="Times New Roman" w:cs="Times New Roman"/>
          <w:sz w:val="20"/>
          <w:szCs w:val="20"/>
        </w:rPr>
        <w:t xml:space="preserve"> Khi trả cổ tức cho nhà đầu tư là cá nhân (trong nước và nước ngoài),</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rPr>
        <w:t>Công ty Quản lý Quỹ có trách nhiệm khấu trừ số thuế thu nhập cá nhân bằng 5% lợi nhuận được phân phối.</w:t>
      </w:r>
    </w:p>
    <w:p w14:paraId="5D39FCB0" w14:textId="77777777" w:rsidR="00B9710D" w:rsidRPr="00902980" w:rsidRDefault="00B9710D"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dịch mua lại chứng chỉ </w:t>
      </w:r>
      <w:r w:rsidR="006D42A5" w:rsidRPr="00902980">
        <w:rPr>
          <w:rFonts w:ascii="Times New Roman" w:hAnsi="Times New Roman" w:cs="Times New Roman"/>
          <w:b/>
          <w:i/>
          <w:sz w:val="20"/>
          <w:szCs w:val="20"/>
        </w:rPr>
        <w:t>Q</w:t>
      </w:r>
      <w:r w:rsidRPr="00902980">
        <w:rPr>
          <w:rFonts w:ascii="Times New Roman" w:hAnsi="Times New Roman" w:cs="Times New Roman"/>
          <w:b/>
          <w:i/>
          <w:sz w:val="20"/>
          <w:szCs w:val="20"/>
        </w:rPr>
        <w:t>uỹ</w:t>
      </w:r>
    </w:p>
    <w:p w14:paraId="149FDD28" w14:textId="4D1D2FBA" w:rsidR="00B9710D" w:rsidRPr="00902980" w:rsidRDefault="00B9710D" w:rsidP="00904DD1">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Công ty Quản lý Quỹ có nghĩa vụ khấu trừ, kê khai và nộp thuế đối với giao dịch mua lại chứng chỉ quỹ từ nhà đầu tư cá nhân (trong nước và nước ngoài) và giao dịch mua lại chứng chỉ quỹ từ những tổ chức đầu tư nước ngoài theo Thông tư 111 được sửa đổi và bổ sung bởi Thông tư 92</w:t>
      </w:r>
      <w:r w:rsidR="00B803B8" w:rsidRPr="00902980">
        <w:rPr>
          <w:rFonts w:ascii="Times New Roman" w:hAnsi="Times New Roman" w:cs="Times New Roman"/>
          <w:sz w:val="20"/>
          <w:szCs w:val="20"/>
        </w:rPr>
        <w:t xml:space="preserve"> và</w:t>
      </w:r>
      <w:r w:rsidR="0026584A" w:rsidRPr="00902980">
        <w:rPr>
          <w:rFonts w:ascii="Times New Roman" w:hAnsi="Times New Roman" w:cs="Times New Roman"/>
          <w:sz w:val="20"/>
          <w:szCs w:val="20"/>
        </w:rPr>
        <w:t xml:space="preserve"> Thông tư 25/2018/TT-BT</w:t>
      </w:r>
      <w:r w:rsidR="00B803B8" w:rsidRPr="00902980">
        <w:rPr>
          <w:rFonts w:ascii="Times New Roman" w:hAnsi="Times New Roman" w:cs="Times New Roman"/>
          <w:sz w:val="20"/>
          <w:szCs w:val="20"/>
        </w:rPr>
        <w:t>C ngày 1/5/2018 (“Thông tư 25”),</w:t>
      </w:r>
      <w:r w:rsidRPr="00902980">
        <w:rPr>
          <w:rFonts w:ascii="Times New Roman" w:hAnsi="Times New Roman" w:cs="Times New Roman"/>
          <w:sz w:val="20"/>
          <w:szCs w:val="20"/>
        </w:rPr>
        <w:t xml:space="preserve"> Thông tư 103/2014/TT-BTC ngày 6 tháng 8 năm 2014 do Bộ Tài chính ban hành. Mức thuế áp dụng là 0,1% trên giá trị chuyển nhượ</w:t>
      </w:r>
      <w:r w:rsidR="00DC23B2" w:rsidRPr="00902980">
        <w:rPr>
          <w:rFonts w:ascii="Times New Roman" w:hAnsi="Times New Roman" w:cs="Times New Roman"/>
          <w:sz w:val="20"/>
          <w:szCs w:val="20"/>
        </w:rPr>
        <w:t xml:space="preserve">ng. </w:t>
      </w:r>
      <w:r w:rsidRPr="00902980">
        <w:rPr>
          <w:rFonts w:ascii="Times New Roman" w:hAnsi="Times New Roman" w:cs="Times New Roman"/>
          <w:sz w:val="20"/>
          <w:szCs w:val="20"/>
        </w:rPr>
        <w:t>Quỹ sẽ không khấu trừ thuế đối với các giao dịch mua lại chứng chỉ quỹ từ nhà đầu tư là tổ chức trong nước. Các nhà đầu tư này phải chịu trách nhiệm tự kê khai và nộp thuế cho Nhà nước theo Thông tư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Số dư bằng không</w:t>
      </w:r>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1FE63674" w:rsidR="00495FFC" w:rsidRDefault="0057477D" w:rsidP="0057477D">
      <w:pPr>
        <w:spacing w:before="120" w:after="120" w:line="360" w:lineRule="auto"/>
        <w:jc w:val="both"/>
        <w:rPr>
          <w:rFonts w:ascii="Times New Roman" w:hAnsi="Times New Roman" w:cs="Times New Roman"/>
          <w:bCs/>
          <w:sz w:val="20"/>
          <w:szCs w:val="20"/>
        </w:rPr>
      </w:pPr>
      <w:r w:rsidRPr="0057477D">
        <w:rPr>
          <w:rFonts w:ascii="Times New Roman" w:hAnsi="Times New Roman" w:cs="Times New Roman"/>
          <w:bCs/>
          <w:sz w:val="20"/>
          <w:szCs w:val="20"/>
        </w:rPr>
        <w:t>Phần thuyết minh này được trình bày theo phụ lục đính kèm.</w:t>
      </w:r>
    </w:p>
    <w:bookmarkStart w:id="0" w:name="_MON_1742741283"/>
    <w:bookmarkEnd w:id="0"/>
    <w:p w14:paraId="17D20F1D" w14:textId="7AE62385" w:rsidR="00AD32E3" w:rsidRDefault="00452B7C" w:rsidP="001224F4">
      <w:pPr>
        <w:spacing w:before="120" w:after="120" w:line="360" w:lineRule="auto"/>
        <w:jc w:val="both"/>
        <w:rPr>
          <w:rFonts w:ascii="Times New Roman" w:hAnsi="Times New Roman" w:cs="Times New Roman"/>
          <w:bCs/>
          <w:sz w:val="20"/>
          <w:szCs w:val="20"/>
        </w:rPr>
      </w:pPr>
      <w:r>
        <w:rPr>
          <w:rFonts w:ascii="Times New Roman" w:hAnsi="Times New Roman" w:cs="Times New Roman"/>
          <w:bCs/>
          <w:sz w:val="20"/>
          <w:szCs w:val="20"/>
        </w:rPr>
        <w:object w:dxaOrig="1541" w:dyaOrig="998" w14:anchorId="636D6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2.25pt;height:40.5pt" o:ole="">
            <v:imagedata r:id="rId8" o:title=""/>
          </v:shape>
          <o:OLEObject Type="Embed" ProgID="Excel.Sheet.12" ShapeID="_x0000_i1027" DrawAspect="Icon" ObjectID="_1742998279" r:id="rId9"/>
        </w:object>
      </w: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1" w:name="_Toc333997942"/>
      <w:bookmarkStart w:id="2" w:name="_Toc341705880"/>
      <w:r w:rsidRPr="00902980">
        <w:rPr>
          <w:rFonts w:ascii="Times New Roman" w:hAnsi="Times New Roman" w:cs="Times New Roman"/>
          <w:b/>
          <w:i/>
          <w:sz w:val="20"/>
          <w:szCs w:val="20"/>
        </w:rPr>
        <w:t>Giá dịch vụ</w:t>
      </w:r>
      <w:r w:rsidRPr="00902980">
        <w:rPr>
          <w:rFonts w:ascii="Times New Roman" w:hAnsi="Times New Roman" w:cs="Times New Roman"/>
          <w:b/>
          <w:i/>
          <w:sz w:val="20"/>
          <w:szCs w:val="20"/>
          <w:lang w:val="vi-VN"/>
        </w:rPr>
        <w:t xml:space="preserve"> quản lý quỹ</w:t>
      </w:r>
      <w:bookmarkEnd w:id="1"/>
      <w:bookmarkEnd w:id="2"/>
    </w:p>
    <w:p w14:paraId="41468BFA" w14:textId="77777777" w:rsidR="009367D3" w:rsidRPr="00902980" w:rsidRDefault="009367D3" w:rsidP="009367D3">
      <w:pPr>
        <w:pStyle w:val="ListParagraph"/>
        <w:spacing w:beforeLines="60" w:before="144" w:afterLines="60" w:after="144" w:line="240" w:lineRule="auto"/>
        <w:jc w:val="both"/>
        <w:outlineLvl w:val="0"/>
        <w:rPr>
          <w:rFonts w:ascii="Times New Roman" w:hAnsi="Times New Roman" w:cs="Times New Roman"/>
          <w:b/>
          <w:i/>
          <w:sz w:val="20"/>
          <w:szCs w:val="20"/>
        </w:rPr>
      </w:pPr>
    </w:p>
    <w:p w14:paraId="4A74D7FA"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3" w:name="_Toc333997943"/>
      <w:bookmarkStart w:id="4" w:name="_Toc341705881"/>
      <w:bookmarkStart w:id="5" w:name="_Toc384120592"/>
      <w:r w:rsidRPr="009367D3">
        <w:rPr>
          <w:rFonts w:ascii="Times New Roman" w:hAnsi="Times New Roman" w:cs="Times New Roman"/>
          <w:sz w:val="20"/>
          <w:szCs w:val="20"/>
          <w:lang w:val="nl-NL"/>
        </w:rPr>
        <w:t>Giá dịch vụ quản lý tối đa là 2% NAV/năm. Giá dịch vụ này được trả cho công ty quản lý quỹ DCVFM để thực hiện các dịch vụ quản lý cho Quỹ DCBC.</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3"/>
      <w:bookmarkEnd w:id="4"/>
      <w:bookmarkEnd w:id="5"/>
      <w:r w:rsidRPr="009367D3">
        <w:rPr>
          <w:rFonts w:ascii="Times New Roman" w:hAnsi="Times New Roman" w:cs="Times New Roman"/>
          <w:b/>
          <w:i/>
          <w:sz w:val="20"/>
          <w:szCs w:val="20"/>
          <w:lang w:val="nl-NL"/>
        </w:rPr>
        <w:t xml:space="preserve"> (chưa bao gồm thuế GTGT)</w:t>
      </w:r>
    </w:p>
    <w:p w14:paraId="0F131869" w14:textId="77777777" w:rsidR="009367D3" w:rsidRPr="009367D3" w:rsidRDefault="009367D3" w:rsidP="009367D3">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72E657BB" w14:textId="77777777" w:rsidR="009367D3" w:rsidRPr="009367D3" w:rsidRDefault="009367D3" w:rsidP="009367D3">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7AECA7C5" w14:textId="77777777" w:rsidR="009367D3" w:rsidRPr="009367D3" w:rsidRDefault="009367D3" w:rsidP="009367D3">
      <w:pPr>
        <w:pStyle w:val="ListParagraph"/>
        <w:spacing w:beforeLines="60" w:before="144" w:afterLines="60" w:after="144" w:line="240" w:lineRule="auto"/>
        <w:jc w:val="both"/>
        <w:outlineLvl w:val="0"/>
        <w:rPr>
          <w:rFonts w:ascii="Times New Roman" w:hAnsi="Times New Roman" w:cs="Times New Roman"/>
          <w:b/>
          <w:i/>
          <w:sz w:val="20"/>
          <w:szCs w:val="20"/>
          <w:lang w:val="nl-NL"/>
        </w:rPr>
      </w:pPr>
    </w:p>
    <w:p w14:paraId="63ED3BEE" w14:textId="77777777" w:rsid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quản trị quỹ tối đa 0,03% NAV/năm chưa bao gồm thuế GTGT (nếu có).</w:t>
      </w:r>
    </w:p>
    <w:p w14:paraId="672C1C87" w14:textId="77777777" w:rsidR="009367D3" w:rsidRPr="00925F04" w:rsidRDefault="009367D3" w:rsidP="009367D3">
      <w:pPr>
        <w:pStyle w:val="ListParagraph"/>
        <w:spacing w:before="120" w:after="120" w:line="360" w:lineRule="auto"/>
        <w:ind w:left="0"/>
        <w:contextualSpacing w:val="0"/>
        <w:jc w:val="both"/>
        <w:rPr>
          <w:rFonts w:ascii="Times New Roman" w:hAnsi="Times New Roman" w:cs="Times New Roman"/>
          <w:b/>
          <w:sz w:val="20"/>
          <w:szCs w:val="20"/>
          <w:lang w:val="vi-VN"/>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4A67B66F" w14:textId="77777777" w:rsidR="0057477D" w:rsidRPr="00D57C9C" w:rsidRDefault="0057477D" w:rsidP="0057477D">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14804247" w14:textId="77777777" w:rsidR="00F825D5" w:rsidRPr="00902980" w:rsidRDefault="00F825D5" w:rsidP="00015BF2">
      <w:pPr>
        <w:spacing w:beforeLines="60" w:before="144" w:afterLines="60" w:after="144"/>
        <w:jc w:val="both"/>
        <w:rPr>
          <w:rFonts w:ascii="Times New Roman" w:eastAsia="Times New Roman" w:hAnsi="Times New Roman" w:cs="Times New Roman"/>
          <w:bCs/>
          <w:sz w:val="20"/>
          <w:szCs w:val="20"/>
          <w:lang w:val="vi-VN"/>
        </w:rPr>
      </w:pPr>
    </w:p>
    <w:p w14:paraId="53E8D1B1" w14:textId="49A3D7BA" w:rsidR="0069262F" w:rsidRPr="00902980" w:rsidRDefault="0069262F" w:rsidP="001542A3">
      <w:pPr>
        <w:spacing w:beforeLines="60" w:before="144" w:afterLines="60" w:after="144"/>
        <w:jc w:val="both"/>
        <w:rPr>
          <w:rFonts w:ascii="Times New Roman" w:eastAsia="Times New Roman" w:hAnsi="Times New Roman" w:cs="Times New Roman"/>
          <w:bCs/>
          <w:i/>
          <w:iCs/>
          <w:sz w:val="20"/>
          <w:szCs w:val="20"/>
          <w:lang w:val="vi-VN"/>
        </w:rPr>
      </w:pPr>
    </w:p>
    <w:tbl>
      <w:tblPr>
        <w:tblW w:w="5210" w:type="pct"/>
        <w:tblInd w:w="-432" w:type="dxa"/>
        <w:tblLook w:val="04A0" w:firstRow="1" w:lastRow="0" w:firstColumn="1" w:lastColumn="0" w:noHBand="0" w:noVBand="1"/>
      </w:tblPr>
      <w:tblGrid>
        <w:gridCol w:w="2829"/>
        <w:gridCol w:w="3269"/>
        <w:gridCol w:w="3307"/>
      </w:tblGrid>
      <w:tr w:rsidR="001542A3" w:rsidRPr="005B0542" w14:paraId="59E8E012" w14:textId="77777777" w:rsidTr="001542A3">
        <w:tc>
          <w:tcPr>
            <w:tcW w:w="5000" w:type="pct"/>
            <w:gridSpan w:val="3"/>
            <w:vAlign w:val="bottom"/>
          </w:tcPr>
          <w:p w14:paraId="49C65CF4" w14:textId="77777777" w:rsidR="001542A3" w:rsidRPr="00DE3880" w:rsidRDefault="001542A3" w:rsidP="004312F9">
            <w:pPr>
              <w:tabs>
                <w:tab w:val="center" w:pos="4320"/>
              </w:tabs>
              <w:ind w:right="260"/>
              <w:rPr>
                <w:rFonts w:ascii="Times New Roman" w:hAnsi="Times New Roman"/>
                <w:b/>
                <w:sz w:val="20"/>
                <w:szCs w:val="20"/>
                <w:lang w:val="nl-NL"/>
              </w:rPr>
            </w:pPr>
          </w:p>
        </w:tc>
      </w:tr>
      <w:tr w:rsidR="001542A3" w:rsidRPr="00902980" w14:paraId="30D29DF5" w14:textId="77777777" w:rsidTr="001542A3">
        <w:tc>
          <w:tcPr>
            <w:tcW w:w="1504"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lập:</w:t>
            </w:r>
          </w:p>
        </w:tc>
        <w:tc>
          <w:tcPr>
            <w:tcW w:w="3496" w:type="pct"/>
            <w:gridSpan w:val="2"/>
          </w:tcPr>
          <w:p w14:paraId="63F7B473" w14:textId="77777777" w:rsidR="001542A3" w:rsidRPr="00902980" w:rsidRDefault="001542A3" w:rsidP="004312F9">
            <w:pPr>
              <w:tabs>
                <w:tab w:val="center" w:pos="4320"/>
              </w:tabs>
              <w:ind w:right="260"/>
              <w:jc w:val="center"/>
              <w:rPr>
                <w:rFonts w:ascii="Times New Roman" w:hAnsi="Times New Roman"/>
                <w:b/>
                <w:sz w:val="20"/>
                <w:szCs w:val="20"/>
              </w:rPr>
            </w:pPr>
            <w:r w:rsidRPr="00902980">
              <w:rPr>
                <w:rFonts w:ascii="Times New Roman" w:hAnsi="Times New Roman"/>
                <w:b/>
                <w:sz w:val="20"/>
                <w:szCs w:val="20"/>
              </w:rPr>
              <w:t>Người duyệt:</w:t>
            </w:r>
          </w:p>
        </w:tc>
      </w:tr>
      <w:tr w:rsidR="001542A3" w:rsidRPr="00902980" w14:paraId="0C9030A8" w14:textId="77777777" w:rsidTr="001542A3">
        <w:tc>
          <w:tcPr>
            <w:tcW w:w="1504"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1542A3">
        <w:tc>
          <w:tcPr>
            <w:tcW w:w="1504"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1542A3">
        <w:tc>
          <w:tcPr>
            <w:tcW w:w="1504"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1542A3">
        <w:tc>
          <w:tcPr>
            <w:tcW w:w="1504"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738"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1758"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1542A3">
        <w:tc>
          <w:tcPr>
            <w:tcW w:w="1504"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Phạm Thị Như Thảo</w:t>
            </w:r>
          </w:p>
        </w:tc>
        <w:tc>
          <w:tcPr>
            <w:tcW w:w="1738"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Ninh Thị Tuệ Minh</w:t>
            </w:r>
          </w:p>
        </w:tc>
        <w:tc>
          <w:tcPr>
            <w:tcW w:w="1758" w:type="pct"/>
          </w:tcPr>
          <w:p w14:paraId="4069D1AA" w14:textId="77777777" w:rsidR="001542A3" w:rsidRPr="00902980" w:rsidRDefault="001542A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sidRPr="00902980">
              <w:rPr>
                <w:rFonts w:ascii="Times New Roman" w:hAnsi="Times New Roman"/>
                <w:b/>
                <w:sz w:val="20"/>
                <w:szCs w:val="20"/>
              </w:rPr>
              <w:t>Nguyễn Minh Đăng Khánh</w:t>
            </w:r>
          </w:p>
        </w:tc>
      </w:tr>
      <w:tr w:rsidR="001542A3" w:rsidRPr="00E21368" w14:paraId="1FE1DFE8" w14:textId="77777777" w:rsidTr="001542A3">
        <w:tc>
          <w:tcPr>
            <w:tcW w:w="1504"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Kế toán Quỹ</w:t>
            </w:r>
          </w:p>
        </w:tc>
        <w:tc>
          <w:tcPr>
            <w:tcW w:w="1738"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r>
              <w:rPr>
                <w:rFonts w:ascii="Times New Roman" w:hAnsi="Times New Roman"/>
                <w:sz w:val="20"/>
                <w:szCs w:val="20"/>
              </w:rPr>
              <w:t>Trưởng phòng Kế toán Quỹ</w:t>
            </w:r>
          </w:p>
        </w:tc>
        <w:tc>
          <w:tcPr>
            <w:tcW w:w="1758" w:type="pct"/>
          </w:tcPr>
          <w:p w14:paraId="7E8B4C46" w14:textId="77777777" w:rsidR="00C00CA1" w:rsidRPr="00902980"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Giám đốc điều hành Nghiệp vụ</w:t>
            </w:r>
          </w:p>
          <w:p w14:paraId="613741BD" w14:textId="1259151A" w:rsidR="001542A3" w:rsidRPr="00E21368" w:rsidRDefault="00C00CA1" w:rsidP="004312F9">
            <w:pPr>
              <w:tabs>
                <w:tab w:val="left" w:pos="1080"/>
                <w:tab w:val="right" w:pos="8280"/>
                <w:tab w:val="right" w:pos="9720"/>
              </w:tabs>
              <w:spacing w:after="0" w:line="312" w:lineRule="auto"/>
              <w:ind w:right="259"/>
              <w:jc w:val="center"/>
              <w:rPr>
                <w:rFonts w:ascii="Times New Roman" w:hAnsi="Times New Roman"/>
                <w:sz w:val="20"/>
                <w:szCs w:val="20"/>
              </w:rPr>
            </w:pPr>
            <w:r w:rsidRPr="00902980">
              <w:rPr>
                <w:rFonts w:ascii="Times New Roman" w:hAnsi="Times New Roman"/>
                <w:sz w:val="20"/>
                <w:szCs w:val="20"/>
              </w:rPr>
              <w:t xml:space="preserve"> hỗ trợ đầu tư</w:t>
            </w:r>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default" r:id="rId10"/>
      <w:footerReference w:type="default" r:id="rId11"/>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6751" w14:textId="77777777" w:rsidR="00A60E81" w:rsidRDefault="00A60E81" w:rsidP="002169ED">
      <w:pPr>
        <w:spacing w:after="0" w:line="240" w:lineRule="auto"/>
      </w:pPr>
      <w:r>
        <w:separator/>
      </w:r>
    </w:p>
  </w:endnote>
  <w:endnote w:type="continuationSeparator" w:id="0">
    <w:p w14:paraId="3C7F4E0E" w14:textId="77777777" w:rsidR="00A60E81" w:rsidRDefault="00A60E81"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524F" w14:textId="77777777" w:rsidR="00A60E81" w:rsidRDefault="00A60E81" w:rsidP="002169ED">
      <w:pPr>
        <w:spacing w:after="0" w:line="240" w:lineRule="auto"/>
      </w:pPr>
      <w:r>
        <w:separator/>
      </w:r>
    </w:p>
  </w:footnote>
  <w:footnote w:type="continuationSeparator" w:id="0">
    <w:p w14:paraId="32EA1625" w14:textId="77777777" w:rsidR="00A60E81" w:rsidRDefault="00A60E81"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002B891F" w:rsidR="003D244D" w:rsidRDefault="00DE3880">
    <w:pPr>
      <w:pStyle w:val="Header"/>
    </w:pPr>
    <w:r>
      <w:rPr>
        <w:noProof/>
      </w:rPr>
      <mc:AlternateContent>
        <mc:Choice Requires="wps">
          <w:drawing>
            <wp:anchor distT="0" distB="0" distL="114300" distR="114300" simplePos="0" relativeHeight="251658240" behindDoc="0" locked="0" layoutInCell="0" allowOverlap="1" wp14:anchorId="2EBB5AC6" wp14:editId="40909D48">
              <wp:simplePos x="0" y="0"/>
              <wp:positionH relativeFrom="page">
                <wp:posOffset>0</wp:posOffset>
              </wp:positionH>
              <wp:positionV relativeFrom="page">
                <wp:posOffset>190500</wp:posOffset>
              </wp:positionV>
              <wp:extent cx="7560310" cy="266700"/>
              <wp:effectExtent l="0" t="0" r="0" b="0"/>
              <wp:wrapNone/>
              <wp:docPr id="1" name="MSIPCMe252458eba2a2d92a08de8cb"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EABB9" w14:textId="112135A5" w:rsidR="003D244D" w:rsidRPr="00ED056C" w:rsidRDefault="00ED056C" w:rsidP="00ED056C">
                          <w:pPr>
                            <w:spacing w:after="0"/>
                            <w:rPr>
                              <w:rFonts w:ascii="Arial" w:hAnsi="Arial" w:cs="Arial"/>
                              <w:color w:val="317100"/>
                              <w:sz w:val="18"/>
                            </w:rPr>
                          </w:pPr>
                          <w:r w:rsidRPr="00ED056C">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B5AC6" id="_x0000_t202" coordsize="21600,21600" o:spt="202" path="m,l,21600r21600,l21600,xe">
              <v:stroke joinstyle="miter"/>
              <v:path gradientshapeok="t" o:connecttype="rect"/>
            </v:shapetype>
            <v:shape id="MSIPCMe252458eba2a2d92a08de8cb" o:spid="_x0000_s1026" type="#_x0000_t202" alt="{&quot;HashCode&quot;:1968695115,&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4CEABB9" w14:textId="112135A5" w:rsidR="003D244D" w:rsidRPr="00ED056C" w:rsidRDefault="00ED056C" w:rsidP="00ED056C">
                    <w:pPr>
                      <w:spacing w:after="0"/>
                      <w:rPr>
                        <w:rFonts w:ascii="Arial" w:hAnsi="Arial" w:cs="Arial"/>
                        <w:color w:val="317100"/>
                        <w:sz w:val="18"/>
                      </w:rPr>
                    </w:pPr>
                    <w:r w:rsidRPr="00ED056C">
                      <w:rPr>
                        <w:rFonts w:ascii="Arial" w:hAnsi="Arial" w:cs="Arial"/>
                        <w:color w:val="317100"/>
                        <w:sz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28"/>
  </w:num>
  <w:num w:numId="3">
    <w:abstractNumId w:val="28"/>
  </w:num>
  <w:num w:numId="4">
    <w:abstractNumId w:val="24"/>
  </w:num>
  <w:num w:numId="5">
    <w:abstractNumId w:val="24"/>
  </w:num>
  <w:num w:numId="6">
    <w:abstractNumId w:val="28"/>
  </w:num>
  <w:num w:numId="7">
    <w:abstractNumId w:val="25"/>
  </w:num>
  <w:num w:numId="8">
    <w:abstractNumId w:val="35"/>
  </w:num>
  <w:num w:numId="9">
    <w:abstractNumId w:val="44"/>
  </w:num>
  <w:num w:numId="10">
    <w:abstractNumId w:val="13"/>
  </w:num>
  <w:num w:numId="11">
    <w:abstractNumId w:val="9"/>
  </w:num>
  <w:num w:numId="12">
    <w:abstractNumId w:val="41"/>
  </w:num>
  <w:num w:numId="13">
    <w:abstractNumId w:val="3"/>
  </w:num>
  <w:num w:numId="14">
    <w:abstractNumId w:val="29"/>
  </w:num>
  <w:num w:numId="15">
    <w:abstractNumId w:val="48"/>
  </w:num>
  <w:num w:numId="16">
    <w:abstractNumId w:val="5"/>
  </w:num>
  <w:num w:numId="17">
    <w:abstractNumId w:val="16"/>
  </w:num>
  <w:num w:numId="18">
    <w:abstractNumId w:val="23"/>
  </w:num>
  <w:num w:numId="19">
    <w:abstractNumId w:val="33"/>
  </w:num>
  <w:num w:numId="20">
    <w:abstractNumId w:val="43"/>
  </w:num>
  <w:num w:numId="21">
    <w:abstractNumId w:val="47"/>
  </w:num>
  <w:num w:numId="22">
    <w:abstractNumId w:val="39"/>
  </w:num>
  <w:num w:numId="23">
    <w:abstractNumId w:val="19"/>
  </w:num>
  <w:num w:numId="24">
    <w:abstractNumId w:val="0"/>
  </w:num>
  <w:num w:numId="25">
    <w:abstractNumId w:val="51"/>
  </w:num>
  <w:num w:numId="26">
    <w:abstractNumId w:val="17"/>
  </w:num>
  <w:num w:numId="27">
    <w:abstractNumId w:val="45"/>
  </w:num>
  <w:num w:numId="28">
    <w:abstractNumId w:val="10"/>
  </w:num>
  <w:num w:numId="29">
    <w:abstractNumId w:val="7"/>
  </w:num>
  <w:num w:numId="30">
    <w:abstractNumId w:val="1"/>
  </w:num>
  <w:num w:numId="31">
    <w:abstractNumId w:val="15"/>
  </w:num>
  <w:num w:numId="32">
    <w:abstractNumId w:val="30"/>
  </w:num>
  <w:num w:numId="33">
    <w:abstractNumId w:val="49"/>
  </w:num>
  <w:num w:numId="34">
    <w:abstractNumId w:val="42"/>
  </w:num>
  <w:num w:numId="35">
    <w:abstractNumId w:val="4"/>
  </w:num>
  <w:num w:numId="36">
    <w:abstractNumId w:val="14"/>
  </w:num>
  <w:num w:numId="37">
    <w:abstractNumId w:val="26"/>
  </w:num>
  <w:num w:numId="38">
    <w:abstractNumId w:val="21"/>
  </w:num>
  <w:num w:numId="39">
    <w:abstractNumId w:val="6"/>
  </w:num>
  <w:num w:numId="40">
    <w:abstractNumId w:val="46"/>
  </w:num>
  <w:num w:numId="41">
    <w:abstractNumId w:val="40"/>
  </w:num>
  <w:num w:numId="42">
    <w:abstractNumId w:val="34"/>
  </w:num>
  <w:num w:numId="43">
    <w:abstractNumId w:val="27"/>
  </w:num>
  <w:num w:numId="44">
    <w:abstractNumId w:val="52"/>
  </w:num>
  <w:num w:numId="45">
    <w:abstractNumId w:val="20"/>
  </w:num>
  <w:num w:numId="46">
    <w:abstractNumId w:val="18"/>
  </w:num>
  <w:num w:numId="47">
    <w:abstractNumId w:val="2"/>
  </w:num>
  <w:num w:numId="48">
    <w:abstractNumId w:val="38"/>
  </w:num>
  <w:num w:numId="49">
    <w:abstractNumId w:val="22"/>
  </w:num>
  <w:num w:numId="50">
    <w:abstractNumId w:val="8"/>
  </w:num>
  <w:num w:numId="51">
    <w:abstractNumId w:val="11"/>
  </w:num>
  <w:num w:numId="52">
    <w:abstractNumId w:val="37"/>
  </w:num>
  <w:num w:numId="53">
    <w:abstractNumId w:val="12"/>
  </w:num>
  <w:num w:numId="54">
    <w:abstractNumId w:val="32"/>
  </w:num>
  <w:num w:numId="55">
    <w:abstractNumId w:val="31"/>
  </w:num>
  <w:num w:numId="56">
    <w:abstractNumId w:val="50"/>
  </w:num>
  <w:num w:numId="5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60CE"/>
    <w:rsid w:val="00116899"/>
    <w:rsid w:val="001175CD"/>
    <w:rsid w:val="00117C84"/>
    <w:rsid w:val="00117CE7"/>
    <w:rsid w:val="001214B6"/>
    <w:rsid w:val="00121756"/>
    <w:rsid w:val="001224F4"/>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0DE8"/>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7753"/>
    <w:rsid w:val="002F35AB"/>
    <w:rsid w:val="002F3939"/>
    <w:rsid w:val="002F64BF"/>
    <w:rsid w:val="002F7AD1"/>
    <w:rsid w:val="00301AA0"/>
    <w:rsid w:val="00304118"/>
    <w:rsid w:val="003043B9"/>
    <w:rsid w:val="00304B1B"/>
    <w:rsid w:val="003063D6"/>
    <w:rsid w:val="00307414"/>
    <w:rsid w:val="00307CEC"/>
    <w:rsid w:val="0031378E"/>
    <w:rsid w:val="00314DF3"/>
    <w:rsid w:val="00316BE4"/>
    <w:rsid w:val="0032045E"/>
    <w:rsid w:val="00327102"/>
    <w:rsid w:val="00330BA2"/>
    <w:rsid w:val="003346C8"/>
    <w:rsid w:val="00334DA7"/>
    <w:rsid w:val="00335BFF"/>
    <w:rsid w:val="00340746"/>
    <w:rsid w:val="00342A5D"/>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B7C"/>
    <w:rsid w:val="00452EAA"/>
    <w:rsid w:val="00452F6E"/>
    <w:rsid w:val="00456967"/>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750"/>
    <w:rsid w:val="005A29F5"/>
    <w:rsid w:val="005A3AB4"/>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16241"/>
    <w:rsid w:val="00622406"/>
    <w:rsid w:val="006237F0"/>
    <w:rsid w:val="00623C6B"/>
    <w:rsid w:val="00633817"/>
    <w:rsid w:val="00635CFD"/>
    <w:rsid w:val="006426A5"/>
    <w:rsid w:val="00650322"/>
    <w:rsid w:val="00652244"/>
    <w:rsid w:val="00654FA9"/>
    <w:rsid w:val="0066013C"/>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6F54"/>
    <w:rsid w:val="00A472B7"/>
    <w:rsid w:val="00A505F1"/>
    <w:rsid w:val="00A529AB"/>
    <w:rsid w:val="00A556CF"/>
    <w:rsid w:val="00A60B56"/>
    <w:rsid w:val="00A60E81"/>
    <w:rsid w:val="00A6169B"/>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517B"/>
    <w:rsid w:val="00AA7826"/>
    <w:rsid w:val="00AA7DB2"/>
    <w:rsid w:val="00AB17C1"/>
    <w:rsid w:val="00AB44AC"/>
    <w:rsid w:val="00AB5340"/>
    <w:rsid w:val="00AB56C3"/>
    <w:rsid w:val="00AC29B4"/>
    <w:rsid w:val="00AC2E97"/>
    <w:rsid w:val="00AC3ACE"/>
    <w:rsid w:val="00AC4301"/>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3EED"/>
    <w:rsid w:val="00B250BC"/>
    <w:rsid w:val="00B25AFF"/>
    <w:rsid w:val="00B26FD9"/>
    <w:rsid w:val="00B31BC9"/>
    <w:rsid w:val="00B3307D"/>
    <w:rsid w:val="00B333F0"/>
    <w:rsid w:val="00B33650"/>
    <w:rsid w:val="00B3745D"/>
    <w:rsid w:val="00B37460"/>
    <w:rsid w:val="00B424D9"/>
    <w:rsid w:val="00B432F2"/>
    <w:rsid w:val="00B45678"/>
    <w:rsid w:val="00B45B9A"/>
    <w:rsid w:val="00B4651A"/>
    <w:rsid w:val="00B476DB"/>
    <w:rsid w:val="00B47A90"/>
    <w:rsid w:val="00B50DE4"/>
    <w:rsid w:val="00B50E00"/>
    <w:rsid w:val="00B511F9"/>
    <w:rsid w:val="00B51E47"/>
    <w:rsid w:val="00B51E5C"/>
    <w:rsid w:val="00B523E6"/>
    <w:rsid w:val="00B54B04"/>
    <w:rsid w:val="00B5588E"/>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7490A"/>
    <w:rsid w:val="00C76549"/>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F78"/>
    <w:rsid w:val="00D607D5"/>
    <w:rsid w:val="00D612B4"/>
    <w:rsid w:val="00D63763"/>
    <w:rsid w:val="00D63C44"/>
    <w:rsid w:val="00D6529B"/>
    <w:rsid w:val="00D66DEA"/>
    <w:rsid w:val="00D67204"/>
    <w:rsid w:val="00D67F6F"/>
    <w:rsid w:val="00D710FB"/>
    <w:rsid w:val="00D713E1"/>
    <w:rsid w:val="00D739A1"/>
    <w:rsid w:val="00D7478D"/>
    <w:rsid w:val="00D76416"/>
    <w:rsid w:val="00D77D0B"/>
    <w:rsid w:val="00D82B11"/>
    <w:rsid w:val="00D83B27"/>
    <w:rsid w:val="00D852C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4C54"/>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56C"/>
    <w:rsid w:val="00ED0D06"/>
    <w:rsid w:val="00ED1106"/>
    <w:rsid w:val="00ED3BF2"/>
    <w:rsid w:val="00ED6C0D"/>
    <w:rsid w:val="00ED78D1"/>
    <w:rsid w:val="00EE0273"/>
    <w:rsid w:val="00EE1056"/>
    <w:rsid w:val="00EE1844"/>
    <w:rsid w:val="00EE2E4B"/>
    <w:rsid w:val="00EE3FFE"/>
    <w:rsid w:val="00EE4E92"/>
    <w:rsid w:val="00EE6AB9"/>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A0VcTI8evI0N+JU5y9ZCPtCm4v4=</DigestValue>
    </Reference>
    <Reference Type="http://www.w3.org/2000/09/xmldsig#Object" URI="#idOfficeObject">
      <DigestMethod Algorithm="http://www.w3.org/2000/09/xmldsig#sha1"/>
      <DigestValue>YSiBaQjDJzzgiOZUaSIXa03lwkQ=</DigestValue>
    </Reference>
    <Reference Type="http://uri.etsi.org/01903#SignedProperties" URI="#idSignedProperties">
      <Transforms>
        <Transform Algorithm="http://www.w3.org/TR/2001/REC-xml-c14n-20010315"/>
      </Transforms>
      <DigestMethod Algorithm="http://www.w3.org/2000/09/xmldsig#sha1"/>
      <DigestValue>RhGrYJwMKugBjyDbP6rs+WS9TLY=</DigestValue>
    </Reference>
  </SignedInfo>
  <SignatureValue>xb6apFjHOhwFa93pkV3Fh4VMAKlQavVBzYeVo/Y1Jrjn9huX+QS1xCDM7BF3ihJrriG9WPNuEwoC
wSnFBpktJQ9Ghlxi+HJTlFyLdJS7tD8AIR2ZwzdgTOGONIa7sackejF8e29txEnxJWuy3em5J/4T
UzyV2CXKgJohaqJSWFU=</SignatureValue>
  <KeyInfo>
    <X509Data>
      <X509Certificate>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a60NdGDcQN8SeNzuq0Y3J3K7xOc=</DigestValue>
      </Reference>
      <Reference URI="/word/embeddings/Microsoft_Excel_Worksheet.xlsx?ContentType=application/vnd.openxmlformats-officedocument.spreadsheetml.sheet">
        <DigestMethod Algorithm="http://www.w3.org/2000/09/xmldsig#sha1"/>
        <DigestValue>nriwjFQSjcDPXRewLRXnW4nvktA=</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oXc0QF8vH8Xn4yTa44Md5pQewJc=</DigestValue>
      </Reference>
      <Reference URI="/word/media/image1.emf?ContentType=image/x-emf">
        <DigestMethod Algorithm="http://www.w3.org/2000/09/xmldsig#sha1"/>
        <DigestValue>3Gv04CzFfy8KasjFkCYxsXTxZPo=</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WYmsr8X5o0i7eEQJorQJctdIbsI=</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2023-04-14T11:39:01Z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16.0.14931/23</OfficeVersion>
          <ApplicationVersion>16.0.14931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2023-04-14T11:39:01Z</xd:SigningTime>
          <xd:SigningCertificate>
            <xd:Cert>
              <xd:CertDigest>
                <DigestMethod Algorithm="http://www.w3.org/2000/09/xmldsig#sha1"/>
                <DigestValue>i/4xqchdECz631I9Txom3VmEQqE=</DigestValue>
              </xd:CertDigest>
              <xd:IssuerSerial>
                <X509IssuerName>CN=VNPT Certification Authority, OU=VNPT-CA Trust Network, O=VNPT Group, C=VN</X509IssuerName>
                <X509SerialNumber>111660364321857326909802287856997449013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Gwr0/d+KapphvV2CgkKQoXZN4NI=</DigestValue>
    </Reference>
    <Reference Type="http://www.w3.org/2000/09/xmldsig#Object" URI="#idOfficeObject">
      <DigestMethod Algorithm="http://www.w3.org/2000/09/xmldsig#sha1"/>
      <DigestValue>XxKMhvxhk0eIz92fYGjMZ1KpiSQ=</DigestValue>
    </Reference>
    <Reference Type="http://uri.etsi.org/01903#SignedProperties" URI="#idSignedProperties">
      <Transforms>
        <Transform Algorithm="http://www.w3.org/TR/2001/REC-xml-c14n-20010315"/>
      </Transforms>
      <DigestMethod Algorithm="http://www.w3.org/2000/09/xmldsig#sha1"/>
      <DigestValue>a6iZ+p9e4p2t+Op/IYpsx2fbeIw=</DigestValue>
    </Reference>
  </SignedInfo>
  <SignatureValue>k36wd8zVvLG2qY9SMdyi81PKYOj4xaIkd7NycM/TO48uzt5NXFfSfpuFw7qXa3Qz32CSTtuhmyMA
JIZ1ewU97dzB8dVe4h8BDsM4QZtTNqxpWdl1osvN2bO/4sdmzOiQL+8EwuRTKT/jsMzSq74ldwWy
BS4dCICJKSQlRa28eFE=</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a60NdGDcQN8SeNzuq0Y3J3K7xOc=</DigestValue>
      </Reference>
      <Reference URI="/word/embeddings/Microsoft_Excel_Worksheet.xlsx?ContentType=application/vnd.openxmlformats-officedocument.spreadsheetml.sheet">
        <DigestMethod Algorithm="http://www.w3.org/2000/09/xmldsig#sha1"/>
        <DigestValue>nriwjFQSjcDPXRewLRXnW4nvktA=</DigestValue>
      </Reference>
      <Reference URI="/word/endnotes.xml?ContentType=application/vnd.openxmlformats-officedocument.wordprocessingml.endnotes+xml">
        <DigestMethod Algorithm="http://www.w3.org/2000/09/xmldsig#sha1"/>
        <DigestValue>Yavpf8KGy/pkoCnsBqQetH7n7oE=</DigestValue>
      </Reference>
      <Reference URI="/word/fontTable.xml?ContentType=application/vnd.openxmlformats-officedocument.wordprocessingml.fontTable+xml">
        <DigestMethod Algorithm="http://www.w3.org/2000/09/xmldsig#sha1"/>
        <DigestValue>ioTn7dfnemAVRVSe3neiAmaJ/X4=</DigestValue>
      </Reference>
      <Reference URI="/word/footer1.xml?ContentType=application/vnd.openxmlformats-officedocument.wordprocessingml.footer+xml">
        <DigestMethod Algorithm="http://www.w3.org/2000/09/xmldsig#sha1"/>
        <DigestValue>BabHJZT7l8rBqnaeBme1dTsWUBk=</DigestValue>
      </Reference>
      <Reference URI="/word/footnotes.xml?ContentType=application/vnd.openxmlformats-officedocument.wordprocessingml.footnotes+xml">
        <DigestMethod Algorithm="http://www.w3.org/2000/09/xmldsig#sha1"/>
        <DigestValue>QVz9wR//GfWOvnUfz1aFnRzWWm4=</DigestValue>
      </Reference>
      <Reference URI="/word/header1.xml?ContentType=application/vnd.openxmlformats-officedocument.wordprocessingml.header+xml">
        <DigestMethod Algorithm="http://www.w3.org/2000/09/xmldsig#sha1"/>
        <DigestValue>oXc0QF8vH8Xn4yTa44Md5pQewJc=</DigestValue>
      </Reference>
      <Reference URI="/word/media/image1.emf?ContentType=image/x-emf">
        <DigestMethod Algorithm="http://www.w3.org/2000/09/xmldsig#sha1"/>
        <DigestValue>3Gv04CzFfy8KasjFkCYxsXTxZPo=</DigestValue>
      </Reference>
      <Reference URI="/word/numbering.xml?ContentType=application/vnd.openxmlformats-officedocument.wordprocessingml.numbering+xml">
        <DigestMethod Algorithm="http://www.w3.org/2000/09/xmldsig#sha1"/>
        <DigestValue>jTgIIXHxQn4YnjDufui8Ip5O8H8=</DigestValue>
      </Reference>
      <Reference URI="/word/settings.xml?ContentType=application/vnd.openxmlformats-officedocument.wordprocessingml.settings+xml">
        <DigestMethod Algorithm="http://www.w3.org/2000/09/xmldsig#sha1"/>
        <DigestValue>WYmsr8X5o0i7eEQJorQJctdIbsI=</DigestValue>
      </Reference>
      <Reference URI="/word/styles.xml?ContentType=application/vnd.openxmlformats-officedocument.wordprocessingml.styles+xml">
        <DigestMethod Algorithm="http://www.w3.org/2000/09/xmldsig#sha1"/>
        <DigestValue>vHWvC8OxXWNErKupAPxiGz6+5w4=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Bcq0gZdd0tcXgDVyuinxH/oz/mo=</DigestValue>
      </Reference>
    </Manifest>
    <SignatureProperties>
      <SignatureProperty Id="idSignatureTime" Target="#idPackageSignature">
        <mdssi:SignatureTime xmlns:mdssi="http://schemas.openxmlformats.org/package/2006/digital-signature">
          <mdssi:Format>YYYY-MM-DDThh:mm:ssTZD</mdssi:Format>
          <mdssi:Value>2023-04-17T07:59:25Z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2023-04-17T07:59:25Z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8</Pages>
  <Words>2717</Words>
  <Characters>15489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Huong, Tra</cp:lastModifiedBy>
  <cp:revision>16</cp:revision>
  <cp:lastPrinted>2020-04-14T09:25:00Z</cp:lastPrinted>
  <dcterms:created xsi:type="dcterms:W3CDTF">2022-10-06T10:20:00Z</dcterms:created>
  <dcterms:modified xsi:type="dcterms:W3CDTF">2023-04-14T10:25:00Z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bfc019-7f88-4fb6-96d6-94ffadd4b772_Enabled">
    <vt:lpwstr>true</vt:lpwstr>
  </property>
  <property fmtid="{D5CDD505-2E9C-101B-9397-08002B2CF9AE}" pid="3" name="MSIP_Label_ebbfc019-7f88-4fb6-96d6-94ffadd4b772_SetDate">
    <vt:lpwstr>2023-04-14T10:25:22Z</vt:lpwstr>
  </property>
  <property fmtid="{D5CDD505-2E9C-101B-9397-08002B2CF9AE}" pid="4" name="MSIP_Label_ebbfc019-7f88-4fb6-96d6-94ffadd4b772_Method">
    <vt:lpwstr>Privileged</vt:lpwstr>
  </property>
  <property fmtid="{D5CDD505-2E9C-101B-9397-08002B2CF9AE}" pid="5" name="MSIP_Label_ebbfc019-7f88-4fb6-96d6-94ffadd4b772_Name">
    <vt:lpwstr>ebbfc019-7f88-4fb6-96d6-94ffadd4b772</vt:lpwstr>
  </property>
  <property fmtid="{D5CDD505-2E9C-101B-9397-08002B2CF9AE}" pid="6" name="MSIP_Label_ebbfc019-7f88-4fb6-96d6-94ffadd4b772_SiteId">
    <vt:lpwstr>b44900f1-2def-4c3b-9ec6-9020d604e19e</vt:lpwstr>
  </property>
  <property fmtid="{D5CDD505-2E9C-101B-9397-08002B2CF9AE}" pid="7" name="MSIP_Label_ebbfc019-7f88-4fb6-96d6-94ffadd4b772_ActionId">
    <vt:lpwstr>496d11f1-aef1-4e93-9368-c7782a227c7f</vt:lpwstr>
  </property>
  <property fmtid="{D5CDD505-2E9C-101B-9397-08002B2CF9AE}" pid="8" name="MSIP_Label_ebbfc019-7f88-4fb6-96d6-94ffadd4b772_ContentBits">
    <vt:lpwstr>1</vt:lpwstr>
  </property>
</Properties>
</file>